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6C6" w:rsidRDefault="00EF26C6" w:rsidP="00EF26C6">
      <w:pPr>
        <w:jc w:val="center"/>
        <w:rPr>
          <w:rFonts w:ascii="Inter" w:hAnsi="Inter" w:cs="Times New Roman"/>
          <w:b/>
          <w:sz w:val="28"/>
          <w:szCs w:val="28"/>
        </w:rPr>
      </w:pPr>
      <w:r>
        <w:rPr>
          <w:noProof/>
        </w:rPr>
        <w:drawing>
          <wp:anchor distT="0" distB="0" distL="114300" distR="114300" simplePos="0" relativeHeight="251659264" behindDoc="0" locked="0" layoutInCell="1" allowOverlap="1" wp14:anchorId="29FA846E" wp14:editId="0AB734AC">
            <wp:simplePos x="0" y="0"/>
            <wp:positionH relativeFrom="column">
              <wp:posOffset>0</wp:posOffset>
            </wp:positionH>
            <wp:positionV relativeFrom="paragraph">
              <wp:posOffset>-635</wp:posOffset>
            </wp:positionV>
            <wp:extent cx="1571625" cy="1733550"/>
            <wp:effectExtent l="0" t="0" r="9525" b="0"/>
            <wp:wrapNone/>
            <wp:docPr id="2" name="Рисунок 3" descr="A:\Общая папка\2022\СМИ\Картинки\Лого.png"/>
            <wp:cNvGraphicFramePr/>
            <a:graphic xmlns:a="http://schemas.openxmlformats.org/drawingml/2006/main">
              <a:graphicData uri="http://schemas.openxmlformats.org/drawingml/2006/picture">
                <pic:pic xmlns:pic="http://schemas.openxmlformats.org/drawingml/2006/picture">
                  <pic:nvPicPr>
                    <pic:cNvPr id="2" name="Рисунок 3" descr="A:\Общая папка\2022\СМИ\Картинки\Лого.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1625" cy="1733550"/>
                    </a:xfrm>
                    <a:prstGeom prst="rect">
                      <a:avLst/>
                    </a:prstGeom>
                    <a:noFill/>
                    <a:ln w="9525">
                      <a:noFill/>
                      <a:miter lim="800000"/>
                      <a:headEnd/>
                      <a:tailEnd/>
                    </a:ln>
                  </pic:spPr>
                </pic:pic>
              </a:graphicData>
            </a:graphic>
          </wp:anchor>
        </w:drawing>
      </w:r>
    </w:p>
    <w:p w:rsidR="00EF26C6" w:rsidRDefault="00EF26C6" w:rsidP="00EF26C6">
      <w:pPr>
        <w:jc w:val="center"/>
        <w:rPr>
          <w:rFonts w:ascii="Inter" w:hAnsi="Inter" w:cs="Times New Roman"/>
          <w:b/>
          <w:sz w:val="28"/>
          <w:szCs w:val="28"/>
        </w:rPr>
      </w:pPr>
    </w:p>
    <w:p w:rsidR="00EF26C6" w:rsidRDefault="00EF26C6" w:rsidP="00EF26C6">
      <w:pPr>
        <w:jc w:val="center"/>
        <w:rPr>
          <w:rFonts w:ascii="Inter" w:hAnsi="Inter" w:cs="Times New Roman"/>
          <w:b/>
          <w:sz w:val="28"/>
          <w:szCs w:val="28"/>
        </w:rPr>
      </w:pPr>
    </w:p>
    <w:p w:rsidR="00EF26C6" w:rsidRDefault="00EF26C6" w:rsidP="00EF26C6">
      <w:pPr>
        <w:jc w:val="center"/>
        <w:rPr>
          <w:rFonts w:ascii="Inter" w:hAnsi="Inter" w:cs="Times New Roman"/>
          <w:b/>
          <w:sz w:val="28"/>
          <w:szCs w:val="28"/>
        </w:rPr>
      </w:pPr>
    </w:p>
    <w:p w:rsidR="00EF26C6" w:rsidRDefault="00EF26C6" w:rsidP="00EF26C6">
      <w:pPr>
        <w:jc w:val="right"/>
        <w:rPr>
          <w:rFonts w:ascii="Inter" w:hAnsi="Inter" w:cs="Times New Roman"/>
          <w:b/>
          <w:sz w:val="28"/>
          <w:szCs w:val="28"/>
          <w:lang w:val="tt-RU"/>
        </w:rPr>
      </w:pPr>
      <w:r>
        <w:rPr>
          <w:rFonts w:ascii="Inter" w:hAnsi="Inter" w:cs="Times New Roman"/>
          <w:b/>
          <w:sz w:val="28"/>
          <w:szCs w:val="28"/>
          <w:lang w:val="tt-RU"/>
        </w:rPr>
        <w:t>Пресс-релиз</w:t>
      </w:r>
    </w:p>
    <w:p w:rsidR="00EF26C6" w:rsidRPr="00EF26C6" w:rsidRDefault="00EF26C6" w:rsidP="00EF26C6">
      <w:pPr>
        <w:jc w:val="right"/>
        <w:rPr>
          <w:rFonts w:ascii="Inter" w:hAnsi="Inter" w:cs="Times New Roman"/>
          <w:b/>
          <w:sz w:val="28"/>
          <w:szCs w:val="28"/>
          <w:lang w:val="tt-RU"/>
        </w:rPr>
      </w:pPr>
      <w:r>
        <w:rPr>
          <w:rFonts w:ascii="Inter" w:hAnsi="Inter" w:cs="Times New Roman"/>
          <w:b/>
          <w:sz w:val="28"/>
          <w:szCs w:val="28"/>
          <w:lang w:val="tt-RU"/>
        </w:rPr>
        <w:t>8.07.2022</w:t>
      </w:r>
    </w:p>
    <w:p w:rsidR="00EF26C6" w:rsidRDefault="00EF26C6" w:rsidP="00EF26C6">
      <w:pPr>
        <w:jc w:val="center"/>
        <w:rPr>
          <w:rFonts w:ascii="Inter" w:hAnsi="Inter" w:cs="Times New Roman"/>
          <w:b/>
          <w:sz w:val="28"/>
          <w:szCs w:val="28"/>
        </w:rPr>
      </w:pPr>
    </w:p>
    <w:p w:rsidR="00EF26C6" w:rsidRDefault="00EF26C6" w:rsidP="00EF26C6">
      <w:pPr>
        <w:rPr>
          <w:rFonts w:ascii="Inter" w:hAnsi="Inter" w:cs="Times New Roman"/>
          <w:b/>
          <w:sz w:val="28"/>
          <w:szCs w:val="28"/>
        </w:rPr>
      </w:pPr>
      <w:r w:rsidRPr="00EF26C6">
        <w:rPr>
          <w:rFonts w:ascii="Inter" w:hAnsi="Inter" w:cs="Times New Roman"/>
          <w:b/>
          <w:sz w:val="28"/>
          <w:szCs w:val="28"/>
        </w:rPr>
        <w:t>Как поставить на кадастровый учет дом или, наоборот, снять с него</w:t>
      </w:r>
    </w:p>
    <w:p w:rsidR="00EF26C6" w:rsidRPr="00EF26C6" w:rsidRDefault="00EF26C6" w:rsidP="00EF26C6">
      <w:pPr>
        <w:jc w:val="center"/>
        <w:rPr>
          <w:rFonts w:ascii="Inter" w:hAnsi="Inter" w:cs="Times New Roman"/>
          <w:b/>
          <w:sz w:val="28"/>
          <w:szCs w:val="28"/>
        </w:rPr>
      </w:pPr>
    </w:p>
    <w:p w:rsidR="00EF26C6" w:rsidRPr="00EF26C6" w:rsidRDefault="00EF26C6" w:rsidP="00EF26C6">
      <w:pPr>
        <w:jc w:val="both"/>
        <w:rPr>
          <w:rFonts w:ascii="Inter" w:eastAsia="Times New Roman" w:hAnsi="Inter" w:cs="Times New Roman"/>
          <w:b/>
          <w:i/>
          <w:sz w:val="24"/>
          <w:szCs w:val="24"/>
        </w:rPr>
      </w:pPr>
      <w:r w:rsidRPr="00EF26C6">
        <w:rPr>
          <w:rFonts w:ascii="Inter" w:eastAsia="Times New Roman" w:hAnsi="Inter" w:cs="Times New Roman"/>
          <w:b/>
          <w:i/>
          <w:sz w:val="24"/>
          <w:szCs w:val="24"/>
        </w:rPr>
        <w:t xml:space="preserve">Отвечает начальник государственного кадастрового учета и государственной регистрации прав на недвижимость №1 Управления </w:t>
      </w:r>
      <w:proofErr w:type="spellStart"/>
      <w:r w:rsidRPr="00EF26C6">
        <w:rPr>
          <w:rFonts w:ascii="Inter" w:eastAsia="Times New Roman" w:hAnsi="Inter" w:cs="Times New Roman"/>
          <w:b/>
          <w:i/>
          <w:sz w:val="24"/>
          <w:szCs w:val="24"/>
        </w:rPr>
        <w:t>Росреестра</w:t>
      </w:r>
      <w:proofErr w:type="spellEnd"/>
      <w:r w:rsidRPr="00EF26C6">
        <w:rPr>
          <w:rFonts w:ascii="Inter" w:eastAsia="Times New Roman" w:hAnsi="Inter" w:cs="Times New Roman"/>
          <w:b/>
          <w:i/>
          <w:sz w:val="24"/>
          <w:szCs w:val="24"/>
        </w:rPr>
        <w:t xml:space="preserve"> по Республике </w:t>
      </w:r>
      <w:proofErr w:type="gramStart"/>
      <w:r w:rsidRPr="00EF26C6">
        <w:rPr>
          <w:rFonts w:ascii="Inter" w:eastAsia="Times New Roman" w:hAnsi="Inter" w:cs="Times New Roman"/>
          <w:b/>
          <w:i/>
          <w:sz w:val="24"/>
          <w:szCs w:val="24"/>
        </w:rPr>
        <w:t>Татарстан  Алсу</w:t>
      </w:r>
      <w:proofErr w:type="gramEnd"/>
      <w:r w:rsidRPr="00EF26C6">
        <w:rPr>
          <w:rFonts w:ascii="Inter" w:eastAsia="Times New Roman" w:hAnsi="Inter" w:cs="Times New Roman"/>
          <w:b/>
          <w:i/>
          <w:sz w:val="24"/>
          <w:szCs w:val="24"/>
        </w:rPr>
        <w:t xml:space="preserve"> Сафина</w:t>
      </w:r>
    </w:p>
    <w:p w:rsidR="00EF26C6" w:rsidRPr="00EF26C6" w:rsidRDefault="00EF26C6" w:rsidP="00EF26C6">
      <w:pPr>
        <w:jc w:val="both"/>
        <w:rPr>
          <w:rFonts w:ascii="Inter" w:eastAsia="Times New Roman" w:hAnsi="Inter" w:cs="Times New Roman"/>
          <w:b/>
          <w:color w:val="292C2F"/>
          <w:sz w:val="24"/>
          <w:szCs w:val="24"/>
        </w:rPr>
      </w:pPr>
      <w:r w:rsidRPr="00EF26C6">
        <w:rPr>
          <w:rFonts w:ascii="Inter" w:eastAsia="Times New Roman" w:hAnsi="Inter" w:cs="Times New Roman"/>
          <w:b/>
          <w:color w:val="292C2F"/>
          <w:sz w:val="24"/>
          <w:szCs w:val="24"/>
        </w:rPr>
        <w:t>Хотим поставить на учет жилой дом. Вид разрешенного использования земельного участка, на котором он расположен, «для индивидуального жилищного строительства». С чего начать?</w:t>
      </w:r>
    </w:p>
    <w:p w:rsidR="00EF26C6" w:rsidRPr="00EF26C6" w:rsidRDefault="00EF26C6" w:rsidP="00EF26C6">
      <w:pPr>
        <w:jc w:val="both"/>
        <w:rPr>
          <w:rFonts w:ascii="Inter" w:eastAsia="Times New Roman" w:hAnsi="Inter" w:cs="Times New Roman"/>
          <w:color w:val="292C2F"/>
          <w:sz w:val="24"/>
          <w:szCs w:val="24"/>
        </w:rPr>
      </w:pPr>
      <w:r w:rsidRPr="00EF26C6">
        <w:rPr>
          <w:rFonts w:ascii="Inter" w:eastAsia="Times New Roman" w:hAnsi="Inter" w:cs="Times New Roman"/>
          <w:color w:val="292C2F"/>
          <w:sz w:val="24"/>
          <w:szCs w:val="24"/>
        </w:rPr>
        <w:t>- В настоящее время в целях проведения учетно-регистрационных действий застройщик может воспользоваться двумя способами:</w:t>
      </w:r>
    </w:p>
    <w:p w:rsidR="00EF26C6" w:rsidRPr="00EF26C6" w:rsidRDefault="00EF26C6" w:rsidP="00EF26C6">
      <w:pPr>
        <w:jc w:val="both"/>
        <w:rPr>
          <w:rFonts w:ascii="Inter" w:eastAsia="Times New Roman" w:hAnsi="Inter" w:cs="Times New Roman"/>
          <w:color w:val="292C2F"/>
          <w:sz w:val="24"/>
          <w:szCs w:val="24"/>
        </w:rPr>
      </w:pPr>
      <w:r w:rsidRPr="00EF26C6">
        <w:rPr>
          <w:rFonts w:ascii="Inter" w:eastAsia="Times New Roman" w:hAnsi="Inter" w:cs="Times New Roman"/>
          <w:color w:val="292C2F"/>
          <w:sz w:val="24"/>
          <w:szCs w:val="24"/>
        </w:rPr>
        <w:t>•</w:t>
      </w:r>
      <w:r w:rsidRPr="00EF26C6">
        <w:rPr>
          <w:rFonts w:ascii="Inter" w:eastAsia="Times New Roman" w:hAnsi="Inter" w:cs="Times New Roman"/>
          <w:color w:val="292C2F"/>
          <w:sz w:val="24"/>
          <w:szCs w:val="24"/>
        </w:rPr>
        <w:tab/>
        <w:t xml:space="preserve"> уведомительный порядок, предусматривающий подачу уведомления о планируемом строительстве (реконструкции) и об окончании строительства (реконструкции) в органы местного самоуправления, уполномоченные на выдачу разрешительной документации, по месту нахождения земельного участка, на котором планируется строительство жилого дома.</w:t>
      </w:r>
    </w:p>
    <w:p w:rsidR="00EF26C6" w:rsidRPr="00EF26C6" w:rsidRDefault="00EF26C6" w:rsidP="00EF26C6">
      <w:pPr>
        <w:jc w:val="both"/>
        <w:rPr>
          <w:rFonts w:ascii="Inter" w:eastAsia="Times New Roman" w:hAnsi="Inter" w:cs="Times New Roman"/>
          <w:color w:val="292C2F"/>
          <w:sz w:val="24"/>
          <w:szCs w:val="24"/>
        </w:rPr>
      </w:pPr>
      <w:r w:rsidRPr="00EF26C6">
        <w:rPr>
          <w:rFonts w:ascii="Inter" w:eastAsia="Times New Roman" w:hAnsi="Inter" w:cs="Times New Roman"/>
          <w:color w:val="292C2F"/>
          <w:sz w:val="24"/>
          <w:szCs w:val="24"/>
        </w:rPr>
        <w:t>•</w:t>
      </w:r>
      <w:r w:rsidRPr="00EF26C6">
        <w:rPr>
          <w:rFonts w:ascii="Inter" w:eastAsia="Times New Roman" w:hAnsi="Inter" w:cs="Times New Roman"/>
          <w:color w:val="292C2F"/>
          <w:sz w:val="24"/>
          <w:szCs w:val="24"/>
        </w:rPr>
        <w:tab/>
        <w:t xml:space="preserve">упрощенный порядок, или «дачная амнистия», согласно которому возможно проведение учетно-регистрационных действий в отношении жилого дома на земельных участках, предназначенных для ведения гражданами садоводства, для индивидуального жилищного строительства или для ведения личного подсобного хозяйства на основании технического плана и правоустанавливающего документа на земельный участок. Возводимое здание должно соответствовать параметрам индивидуального дома, определенным Градостроительным кодексом. То есть это должно быть отдельно стоящее здание с количеством надземных этажей не более чем три, высотой не более двадцати метров. Также необходимо учитывать, что в случае, если на земельном участке, в пределах которого планируется </w:t>
      </w:r>
      <w:r w:rsidRPr="00EF26C6">
        <w:rPr>
          <w:rFonts w:ascii="Inter" w:eastAsia="Times New Roman" w:hAnsi="Inter" w:cs="Times New Roman"/>
          <w:color w:val="292C2F"/>
          <w:sz w:val="24"/>
          <w:szCs w:val="24"/>
        </w:rPr>
        <w:lastRenderedPageBreak/>
        <w:t xml:space="preserve">строительство жилого дома, имеются охранные зоны и (или) зоны с особыми условиями использования территории, необходимо согласование в соответствующем органе, установившим такие ограничения, на </w:t>
      </w:r>
      <w:proofErr w:type="gramStart"/>
      <w:r w:rsidRPr="00EF26C6">
        <w:rPr>
          <w:rFonts w:ascii="Inter" w:eastAsia="Times New Roman" w:hAnsi="Inter" w:cs="Times New Roman"/>
          <w:color w:val="292C2F"/>
          <w:sz w:val="24"/>
          <w:szCs w:val="24"/>
        </w:rPr>
        <w:t>строитель</w:t>
      </w:r>
      <w:r w:rsidRPr="00EF26C6">
        <w:rPr>
          <w:rFonts w:ascii="Inter" w:eastAsia="Times New Roman" w:hAnsi="Inter" w:cs="Times New Roman"/>
          <w:color w:val="292C2F"/>
          <w:sz w:val="24"/>
          <w:szCs w:val="24"/>
        </w:rPr>
        <w:t>-</w:t>
      </w:r>
      <w:proofErr w:type="spellStart"/>
      <w:r w:rsidR="008467DE">
        <w:rPr>
          <w:rFonts w:ascii="Inter" w:eastAsia="Times New Roman" w:hAnsi="Inter" w:cs="Times New Roman"/>
          <w:color w:val="292C2F"/>
          <w:sz w:val="24"/>
          <w:szCs w:val="24"/>
        </w:rPr>
        <w:t>ство</w:t>
      </w:r>
      <w:proofErr w:type="spellEnd"/>
      <w:proofErr w:type="gramEnd"/>
      <w:r w:rsidR="008467DE">
        <w:rPr>
          <w:rFonts w:ascii="Inter" w:eastAsia="Times New Roman" w:hAnsi="Inter" w:cs="Times New Roman"/>
          <w:color w:val="292C2F"/>
          <w:sz w:val="24"/>
          <w:szCs w:val="24"/>
        </w:rPr>
        <w:t xml:space="preserve"> </w:t>
      </w:r>
      <w:bookmarkStart w:id="0" w:name="_GoBack"/>
      <w:bookmarkEnd w:id="0"/>
      <w:r w:rsidRPr="00EF26C6">
        <w:rPr>
          <w:rFonts w:ascii="Inter" w:eastAsia="Times New Roman" w:hAnsi="Inter" w:cs="Times New Roman"/>
          <w:color w:val="292C2F"/>
          <w:sz w:val="24"/>
          <w:szCs w:val="24"/>
        </w:rPr>
        <w:t xml:space="preserve">жилого дома, либо информационное письмо об отсутствии необходимости такого согласования. </w:t>
      </w:r>
    </w:p>
    <w:p w:rsidR="00EF26C6" w:rsidRPr="00EF26C6" w:rsidRDefault="00EF26C6" w:rsidP="00EF26C6">
      <w:pPr>
        <w:jc w:val="both"/>
        <w:rPr>
          <w:rFonts w:ascii="Inter" w:eastAsia="Times New Roman" w:hAnsi="Inter" w:cs="Times New Roman"/>
          <w:b/>
          <w:color w:val="292C2F"/>
          <w:sz w:val="24"/>
          <w:szCs w:val="24"/>
        </w:rPr>
      </w:pPr>
      <w:r w:rsidRPr="00EF26C6">
        <w:rPr>
          <w:rFonts w:ascii="Inter" w:eastAsia="Times New Roman" w:hAnsi="Inter" w:cs="Times New Roman"/>
          <w:b/>
          <w:color w:val="292C2F"/>
          <w:sz w:val="24"/>
          <w:szCs w:val="24"/>
        </w:rPr>
        <w:t>Приобрели земельный участок, выяснилось, что на нем есть дом, который фактически уже давно не существует и права на него не зарегистрированы. Как его снять с учета?</w:t>
      </w:r>
    </w:p>
    <w:p w:rsidR="00EF26C6" w:rsidRPr="00EF26C6" w:rsidRDefault="00EF26C6" w:rsidP="00EF26C6">
      <w:pPr>
        <w:jc w:val="both"/>
        <w:rPr>
          <w:rFonts w:ascii="Inter" w:eastAsia="Times New Roman" w:hAnsi="Inter" w:cs="Times New Roman"/>
          <w:color w:val="292C2F"/>
          <w:sz w:val="24"/>
          <w:szCs w:val="24"/>
        </w:rPr>
      </w:pPr>
      <w:r w:rsidRPr="00EF26C6">
        <w:rPr>
          <w:rFonts w:ascii="Inter" w:eastAsia="Times New Roman" w:hAnsi="Inter" w:cs="Times New Roman"/>
          <w:color w:val="292C2F"/>
          <w:sz w:val="24"/>
          <w:szCs w:val="24"/>
        </w:rPr>
        <w:t>- В соответствии с действующим законодательством собственник земельного участка в праве обратиться с заявлением о снятии с государственного кадастрового учета объекта, расположенного на его земельном участке, с приложением акта обследования, подготовленного кадастровым инженером в соответствии с действующим законодательством.</w:t>
      </w:r>
    </w:p>
    <w:p w:rsidR="00EF26C6" w:rsidRPr="00EF26C6" w:rsidRDefault="00EF26C6" w:rsidP="00EF26C6">
      <w:pPr>
        <w:jc w:val="both"/>
        <w:rPr>
          <w:rFonts w:ascii="Inter" w:eastAsia="Times New Roman" w:hAnsi="Inter" w:cs="Times New Roman"/>
          <w:b/>
          <w:color w:val="292C2F"/>
          <w:sz w:val="24"/>
          <w:szCs w:val="24"/>
        </w:rPr>
      </w:pPr>
      <w:r w:rsidRPr="00EF26C6">
        <w:rPr>
          <w:rFonts w:ascii="Inter" w:eastAsia="Times New Roman" w:hAnsi="Inter" w:cs="Times New Roman"/>
          <w:b/>
          <w:color w:val="292C2F"/>
          <w:sz w:val="24"/>
          <w:szCs w:val="24"/>
        </w:rPr>
        <w:t xml:space="preserve">Правда ли, что с недавнего времени можно без подготовки дополнительных документов или каких-либо технических заключений изменить вид объекта с помещения на здание, если такой объект отвечает признакам блокированного жилого дома? </w:t>
      </w:r>
    </w:p>
    <w:p w:rsidR="00EF26C6" w:rsidRPr="00EF26C6" w:rsidRDefault="00EF26C6" w:rsidP="00EF26C6">
      <w:pPr>
        <w:jc w:val="both"/>
        <w:rPr>
          <w:rFonts w:ascii="Inter" w:eastAsia="Times New Roman" w:hAnsi="Inter" w:cs="Times New Roman"/>
          <w:color w:val="292C2F"/>
          <w:sz w:val="24"/>
          <w:szCs w:val="24"/>
        </w:rPr>
      </w:pPr>
      <w:r w:rsidRPr="00EF26C6">
        <w:rPr>
          <w:rFonts w:ascii="Inter" w:eastAsia="Times New Roman" w:hAnsi="Inter" w:cs="Times New Roman"/>
          <w:color w:val="292C2F"/>
          <w:sz w:val="24"/>
          <w:szCs w:val="24"/>
        </w:rPr>
        <w:t>- Да, действительно с 1 марта 2022 года вступил в законную силу 476-ФЗ, согласно которому собственники таких блоков могут уполномочить одного из собственника для обращения с заявлением о приведении вида, назначения и вида разрешенного использования объекта недвижимости в соответствие с требованиями действующего законодательства.  Таким образом, в отношении всех блоков одновременно будет осуществляться изменение вида объекта недвижимости на "здание", назначение объекта недвижимости на "жилой дом" и вид разрешенного использования на "дом блокированной застройки" без предоставления каких-либо дополнительных документов.</w:t>
      </w:r>
    </w:p>
    <w:p w:rsidR="00EF26C6" w:rsidRPr="00EF26C6" w:rsidRDefault="00EF26C6" w:rsidP="00EF26C6">
      <w:pPr>
        <w:jc w:val="both"/>
        <w:rPr>
          <w:rFonts w:ascii="Inter" w:eastAsia="Times New Roman" w:hAnsi="Inter" w:cs="Times New Roman"/>
          <w:b/>
          <w:color w:val="292C2F"/>
          <w:sz w:val="24"/>
          <w:szCs w:val="24"/>
        </w:rPr>
      </w:pPr>
      <w:r w:rsidRPr="00EF26C6">
        <w:rPr>
          <w:rFonts w:ascii="Inter" w:eastAsia="Times New Roman" w:hAnsi="Inter" w:cs="Times New Roman"/>
          <w:b/>
          <w:color w:val="292C2F"/>
          <w:sz w:val="24"/>
          <w:szCs w:val="24"/>
        </w:rPr>
        <w:t xml:space="preserve">Можно ли строить жилые дома на фермерской земле? </w:t>
      </w:r>
    </w:p>
    <w:p w:rsidR="00EF26C6" w:rsidRPr="00EF26C6" w:rsidRDefault="00EF26C6" w:rsidP="00EF26C6">
      <w:pPr>
        <w:jc w:val="both"/>
        <w:rPr>
          <w:rFonts w:ascii="Inter" w:eastAsia="Times New Roman" w:hAnsi="Inter" w:cs="Times New Roman"/>
          <w:color w:val="292C2F"/>
          <w:sz w:val="24"/>
          <w:szCs w:val="24"/>
        </w:rPr>
      </w:pPr>
      <w:r w:rsidRPr="00EF26C6">
        <w:rPr>
          <w:rFonts w:ascii="Inter" w:eastAsia="Times New Roman" w:hAnsi="Inter" w:cs="Times New Roman"/>
          <w:color w:val="292C2F"/>
          <w:sz w:val="24"/>
          <w:szCs w:val="24"/>
        </w:rPr>
        <w:t xml:space="preserve">- Действительно, 1 марта 2022 года вступил в силу Федеральный закон 299-ФЗ, который позволяет строительство, реконструкцию и эксплуатацию одного жилого дома с количеством этажей не более чем три, общая площадь которого составляет не более 500 квадратных метров и площадь застройки которого составляет не более 0,25% от площади земельного участка </w:t>
      </w:r>
      <w:r w:rsidRPr="00EF26C6">
        <w:rPr>
          <w:rFonts w:ascii="Inter" w:eastAsia="Times New Roman" w:hAnsi="Inter" w:cs="Times New Roman"/>
          <w:color w:val="292C2F"/>
          <w:sz w:val="24"/>
          <w:szCs w:val="24"/>
          <w:lang w:val="en-US"/>
        </w:rPr>
        <w:t>c</w:t>
      </w:r>
      <w:r w:rsidRPr="00EF26C6">
        <w:rPr>
          <w:rFonts w:ascii="Inter" w:eastAsia="Times New Roman" w:hAnsi="Inter" w:cs="Times New Roman"/>
          <w:color w:val="292C2F"/>
          <w:sz w:val="24"/>
          <w:szCs w:val="24"/>
        </w:rPr>
        <w:t xml:space="preserve">сельскохозяйственного назначения, в том числе, занятых </w:t>
      </w:r>
      <w:proofErr w:type="spellStart"/>
      <w:r w:rsidRPr="00EF26C6">
        <w:rPr>
          <w:rFonts w:ascii="Inter" w:eastAsia="Times New Roman" w:hAnsi="Inter" w:cs="Times New Roman"/>
          <w:color w:val="292C2F"/>
          <w:sz w:val="24"/>
          <w:szCs w:val="24"/>
        </w:rPr>
        <w:t>сельскохозяй</w:t>
      </w:r>
      <w:r w:rsidRPr="00EF26C6">
        <w:rPr>
          <w:rFonts w:ascii="Inter" w:eastAsia="Times New Roman" w:hAnsi="Inter" w:cs="Times New Roman"/>
          <w:color w:val="292C2F"/>
          <w:sz w:val="24"/>
          <w:szCs w:val="24"/>
        </w:rPr>
        <w:t>-</w:t>
      </w:r>
      <w:r w:rsidRPr="00EF26C6">
        <w:rPr>
          <w:rFonts w:ascii="Inter" w:eastAsia="Times New Roman" w:hAnsi="Inter" w:cs="Times New Roman"/>
          <w:color w:val="292C2F"/>
          <w:sz w:val="24"/>
          <w:szCs w:val="24"/>
        </w:rPr>
        <w:t>ственными</w:t>
      </w:r>
      <w:proofErr w:type="spellEnd"/>
      <w:r w:rsidRPr="00EF26C6">
        <w:rPr>
          <w:rFonts w:ascii="Inter" w:eastAsia="Times New Roman" w:hAnsi="Inter" w:cs="Times New Roman"/>
          <w:color w:val="292C2F"/>
          <w:sz w:val="24"/>
          <w:szCs w:val="24"/>
        </w:rPr>
        <w:t xml:space="preserve"> угодьями, используемом крестьянским (фермерским) хозяйством для осуществления своей деятельности. Однако законами субъектов РФ могут быть определены муниципальные образования, на территориях которых это не допустимо. Так, 25 февраля 2022 года был принят Закон Республики Татарстан №6-ЗРТ, который устанавливает запрет на строительство, реконструкцию и эксплуатацию жилых домов на земельных участках из состава земель сельскохозяйственного назначения, </w:t>
      </w:r>
      <w:r w:rsidRPr="00EF26C6">
        <w:rPr>
          <w:rFonts w:ascii="Inter" w:eastAsia="Times New Roman" w:hAnsi="Inter" w:cs="Times New Roman"/>
          <w:color w:val="292C2F"/>
          <w:sz w:val="24"/>
          <w:szCs w:val="24"/>
        </w:rPr>
        <w:lastRenderedPageBreak/>
        <w:t>используемым крестьянским (фермерским) хозяйством для осуществления своей деятельности, во всех муниципальных образованиях на территории Республики Татарстан.</w:t>
      </w:r>
    </w:p>
    <w:p w:rsidR="00EF26C6" w:rsidRPr="00EF26C6" w:rsidRDefault="00EF26C6" w:rsidP="00EF26C6">
      <w:pPr>
        <w:jc w:val="both"/>
        <w:rPr>
          <w:rFonts w:ascii="Inter" w:eastAsia="Times New Roman" w:hAnsi="Inter" w:cs="Times New Roman"/>
          <w:b/>
          <w:color w:val="292C2F"/>
          <w:sz w:val="24"/>
          <w:szCs w:val="24"/>
        </w:rPr>
      </w:pPr>
      <w:r w:rsidRPr="00EF26C6">
        <w:rPr>
          <w:rFonts w:ascii="Inter" w:eastAsia="Times New Roman" w:hAnsi="Inter" w:cs="Times New Roman"/>
          <w:b/>
          <w:color w:val="292C2F"/>
          <w:sz w:val="24"/>
          <w:szCs w:val="24"/>
        </w:rPr>
        <w:t>Хотим перевести квартиру в нежилое помещение. Какие нужны документы и куда обращаться?</w:t>
      </w:r>
    </w:p>
    <w:p w:rsidR="00EF26C6" w:rsidRPr="00EF26C6" w:rsidRDefault="00EF26C6" w:rsidP="00EF26C6">
      <w:pPr>
        <w:jc w:val="both"/>
        <w:rPr>
          <w:rFonts w:ascii="Inter" w:eastAsia="Times New Roman" w:hAnsi="Inter" w:cs="Times New Roman"/>
          <w:color w:val="292C2F"/>
          <w:sz w:val="24"/>
          <w:szCs w:val="24"/>
        </w:rPr>
      </w:pPr>
      <w:r w:rsidRPr="00EF26C6">
        <w:rPr>
          <w:rFonts w:ascii="Inter" w:eastAsia="Times New Roman" w:hAnsi="Inter" w:cs="Times New Roman"/>
          <w:color w:val="292C2F"/>
          <w:sz w:val="24"/>
          <w:szCs w:val="24"/>
        </w:rPr>
        <w:t xml:space="preserve">- Согласно статьи 23 Жилищного кодекса РФ перевод жилого помещения в нежилое помещение осуществляется органом местного самоуправления по месту нахождения переводимого помещения. Для перевода собственник квартиры подает в орган местного самоуправления следующие документы: </w:t>
      </w:r>
    </w:p>
    <w:p w:rsidR="00EF26C6" w:rsidRPr="00EF26C6" w:rsidRDefault="00EF26C6" w:rsidP="00EF26C6">
      <w:pPr>
        <w:jc w:val="both"/>
        <w:rPr>
          <w:rFonts w:ascii="Inter" w:eastAsia="Times New Roman" w:hAnsi="Inter" w:cs="Times New Roman"/>
          <w:color w:val="292C2F"/>
          <w:sz w:val="24"/>
          <w:szCs w:val="24"/>
        </w:rPr>
      </w:pPr>
      <w:r w:rsidRPr="00EF26C6">
        <w:rPr>
          <w:rFonts w:ascii="Inter" w:eastAsia="Times New Roman" w:hAnsi="Inter" w:cs="Times New Roman"/>
          <w:color w:val="292C2F"/>
          <w:sz w:val="24"/>
          <w:szCs w:val="24"/>
        </w:rPr>
        <w:t>•</w:t>
      </w:r>
      <w:r w:rsidRPr="00EF26C6">
        <w:rPr>
          <w:rFonts w:ascii="Inter" w:eastAsia="Times New Roman" w:hAnsi="Inter" w:cs="Times New Roman"/>
          <w:color w:val="292C2F"/>
          <w:sz w:val="24"/>
          <w:szCs w:val="24"/>
        </w:rPr>
        <w:tab/>
        <w:t>заявление о переводе</w:t>
      </w:r>
    </w:p>
    <w:p w:rsidR="00EF26C6" w:rsidRPr="00EF26C6" w:rsidRDefault="00EF26C6" w:rsidP="00EF26C6">
      <w:pPr>
        <w:jc w:val="both"/>
        <w:rPr>
          <w:rFonts w:ascii="Inter" w:eastAsia="Times New Roman" w:hAnsi="Inter" w:cs="Times New Roman"/>
          <w:color w:val="292C2F"/>
          <w:sz w:val="24"/>
          <w:szCs w:val="24"/>
        </w:rPr>
      </w:pPr>
      <w:r w:rsidRPr="00EF26C6">
        <w:rPr>
          <w:rFonts w:ascii="Inter" w:eastAsia="Times New Roman" w:hAnsi="Inter" w:cs="Times New Roman"/>
          <w:color w:val="292C2F"/>
          <w:sz w:val="24"/>
          <w:szCs w:val="24"/>
        </w:rPr>
        <w:t>•</w:t>
      </w:r>
      <w:r w:rsidRPr="00EF26C6">
        <w:rPr>
          <w:rFonts w:ascii="Inter" w:eastAsia="Times New Roman" w:hAnsi="Inter" w:cs="Times New Roman"/>
          <w:color w:val="292C2F"/>
          <w:sz w:val="24"/>
          <w:szCs w:val="24"/>
        </w:rPr>
        <w:tab/>
        <w:t>правоустанавливающие документы на переводимое помещение</w:t>
      </w:r>
    </w:p>
    <w:p w:rsidR="00EF26C6" w:rsidRPr="00EF26C6" w:rsidRDefault="00EF26C6" w:rsidP="00EF26C6">
      <w:pPr>
        <w:jc w:val="both"/>
        <w:rPr>
          <w:rFonts w:ascii="Inter" w:eastAsia="Times New Roman" w:hAnsi="Inter" w:cs="Times New Roman"/>
          <w:color w:val="292C2F"/>
          <w:sz w:val="24"/>
          <w:szCs w:val="24"/>
        </w:rPr>
      </w:pPr>
      <w:r w:rsidRPr="00EF26C6">
        <w:rPr>
          <w:rFonts w:ascii="Inter" w:eastAsia="Times New Roman" w:hAnsi="Inter" w:cs="Times New Roman"/>
          <w:color w:val="292C2F"/>
          <w:sz w:val="24"/>
          <w:szCs w:val="24"/>
        </w:rPr>
        <w:t>•</w:t>
      </w:r>
      <w:r w:rsidRPr="00EF26C6">
        <w:rPr>
          <w:rFonts w:ascii="Inter" w:eastAsia="Times New Roman" w:hAnsi="Inter" w:cs="Times New Roman"/>
          <w:color w:val="292C2F"/>
          <w:sz w:val="24"/>
          <w:szCs w:val="24"/>
        </w:rPr>
        <w:tab/>
        <w:t>поэтажный план дома, в котором находится переводимое помещение</w:t>
      </w:r>
    </w:p>
    <w:p w:rsidR="00EF26C6" w:rsidRPr="00EF26C6" w:rsidRDefault="00EF26C6" w:rsidP="00EF26C6">
      <w:pPr>
        <w:jc w:val="both"/>
        <w:rPr>
          <w:rFonts w:ascii="Inter" w:eastAsia="Times New Roman" w:hAnsi="Inter" w:cs="Times New Roman"/>
          <w:color w:val="292C2F"/>
          <w:sz w:val="24"/>
          <w:szCs w:val="24"/>
        </w:rPr>
      </w:pPr>
      <w:r w:rsidRPr="00EF26C6">
        <w:rPr>
          <w:rFonts w:ascii="Inter" w:eastAsia="Times New Roman" w:hAnsi="Inter" w:cs="Times New Roman"/>
          <w:color w:val="292C2F"/>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нежилого помещения)</w:t>
      </w:r>
    </w:p>
    <w:p w:rsidR="00EF26C6" w:rsidRPr="00EF26C6" w:rsidRDefault="00EF26C6" w:rsidP="00EF26C6">
      <w:pPr>
        <w:jc w:val="both"/>
        <w:rPr>
          <w:rFonts w:ascii="Inter" w:eastAsia="Times New Roman" w:hAnsi="Inter" w:cs="Times New Roman"/>
          <w:color w:val="292C2F"/>
          <w:sz w:val="24"/>
          <w:szCs w:val="24"/>
        </w:rPr>
      </w:pPr>
      <w:r w:rsidRPr="00EF26C6">
        <w:rPr>
          <w:rFonts w:ascii="Inter" w:eastAsia="Times New Roman" w:hAnsi="Inter" w:cs="Times New Roman"/>
          <w:color w:val="292C2F"/>
          <w:sz w:val="24"/>
          <w:szCs w:val="24"/>
        </w:rPr>
        <w:t>•</w:t>
      </w:r>
      <w:r w:rsidRPr="00EF26C6">
        <w:rPr>
          <w:rFonts w:ascii="Inter" w:eastAsia="Times New Roman" w:hAnsi="Inter" w:cs="Times New Roman"/>
          <w:color w:val="292C2F"/>
          <w:sz w:val="24"/>
          <w:szCs w:val="24"/>
        </w:rPr>
        <w:tab/>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F26C6" w:rsidRPr="00EF26C6" w:rsidRDefault="00EF26C6" w:rsidP="00EF26C6">
      <w:pPr>
        <w:jc w:val="both"/>
        <w:rPr>
          <w:rFonts w:ascii="Inter" w:eastAsia="Times New Roman" w:hAnsi="Inter" w:cs="Times New Roman"/>
          <w:color w:val="292C2F"/>
          <w:sz w:val="24"/>
          <w:szCs w:val="24"/>
        </w:rPr>
      </w:pPr>
      <w:r w:rsidRPr="00EF26C6">
        <w:rPr>
          <w:rFonts w:ascii="Inter" w:eastAsia="Times New Roman" w:hAnsi="Inter" w:cs="Times New Roman"/>
          <w:color w:val="292C2F"/>
          <w:sz w:val="24"/>
          <w:szCs w:val="24"/>
        </w:rPr>
        <w:t>•</w:t>
      </w:r>
      <w:r w:rsidRPr="00EF26C6">
        <w:rPr>
          <w:rFonts w:ascii="Inter" w:eastAsia="Times New Roman" w:hAnsi="Inter" w:cs="Times New Roman"/>
          <w:color w:val="292C2F"/>
          <w:sz w:val="24"/>
          <w:szCs w:val="24"/>
        </w:rPr>
        <w:tab/>
        <w:t>согласие каждого собственника всех помещений, примыкающих к переводимому помещению, на перевод жилого помещения в нежилое помещение</w:t>
      </w:r>
    </w:p>
    <w:p w:rsidR="00EF26C6" w:rsidRPr="00EF26C6" w:rsidRDefault="00EF26C6" w:rsidP="00EF26C6">
      <w:pPr>
        <w:jc w:val="both"/>
        <w:rPr>
          <w:rFonts w:ascii="Inter" w:eastAsia="Times New Roman" w:hAnsi="Inter" w:cs="Times New Roman"/>
          <w:color w:val="292C2F"/>
          <w:sz w:val="24"/>
          <w:szCs w:val="24"/>
        </w:rPr>
      </w:pPr>
      <w:r w:rsidRPr="00EF26C6">
        <w:rPr>
          <w:rFonts w:ascii="Inter" w:eastAsia="Times New Roman" w:hAnsi="Inter" w:cs="Times New Roman"/>
          <w:color w:val="292C2F"/>
          <w:sz w:val="24"/>
          <w:szCs w:val="24"/>
        </w:rPr>
        <w:t xml:space="preserve">Решение о переводе или об отказе в переводе помещения должно быть принято не позднее чем через 45 дней со дня представления всех необходимых документов. </w:t>
      </w:r>
    </w:p>
    <w:p w:rsidR="00EF26C6" w:rsidRPr="00FB2A73" w:rsidRDefault="00EF26C6" w:rsidP="00EF26C6">
      <w:pPr>
        <w:jc w:val="both"/>
        <w:rPr>
          <w:rFonts w:ascii="Times New Roman" w:eastAsia="Times New Roman" w:hAnsi="Times New Roman" w:cs="Times New Roman"/>
          <w:color w:val="292C2F"/>
          <w:sz w:val="24"/>
          <w:szCs w:val="24"/>
        </w:rPr>
      </w:pPr>
      <w:r w:rsidRPr="00EF26C6">
        <w:rPr>
          <w:rFonts w:ascii="Inter" w:eastAsia="Times New Roman" w:hAnsi="Inter" w:cs="Times New Roman"/>
          <w:color w:val="292C2F"/>
          <w:sz w:val="24"/>
          <w:szCs w:val="24"/>
        </w:rPr>
        <w:t>Орган, осуществляющий перевод, не позднее чем через три рабочих дня со дня принятия соответствующего решения выдает заявителю документ, подтверждающий его принятие</w:t>
      </w:r>
      <w:r w:rsidRPr="00FB2A73">
        <w:rPr>
          <w:rFonts w:ascii="Times New Roman" w:eastAsia="Times New Roman" w:hAnsi="Times New Roman" w:cs="Times New Roman"/>
          <w:color w:val="292C2F"/>
          <w:sz w:val="24"/>
          <w:szCs w:val="24"/>
        </w:rPr>
        <w:t>.</w:t>
      </w:r>
    </w:p>
    <w:p w:rsidR="00EF26C6" w:rsidRDefault="00EF26C6" w:rsidP="00EF26C6">
      <w:pPr>
        <w:spacing w:after="0" w:line="240" w:lineRule="auto"/>
        <w:jc w:val="right"/>
        <w:rPr>
          <w:rFonts w:ascii="Segoe UI" w:eastAsia="Times New Roman" w:hAnsi="Segoe UI" w:cs="Segoe UI"/>
          <w:b/>
          <w:sz w:val="20"/>
          <w:szCs w:val="20"/>
        </w:rPr>
      </w:pPr>
    </w:p>
    <w:p w:rsidR="00EF26C6" w:rsidRDefault="00EF26C6" w:rsidP="00EF26C6">
      <w:pPr>
        <w:spacing w:after="0" w:line="240" w:lineRule="auto"/>
        <w:jc w:val="right"/>
        <w:rPr>
          <w:rFonts w:ascii="Segoe UI" w:eastAsia="Times New Roman" w:hAnsi="Segoe UI" w:cs="Segoe UI"/>
          <w:b/>
          <w:sz w:val="20"/>
          <w:szCs w:val="20"/>
        </w:rPr>
      </w:pPr>
    </w:p>
    <w:p w:rsidR="00EF26C6" w:rsidRDefault="00EF26C6" w:rsidP="00EF26C6">
      <w:pPr>
        <w:spacing w:after="0" w:line="240" w:lineRule="auto"/>
        <w:jc w:val="right"/>
        <w:rPr>
          <w:rFonts w:ascii="Segoe UI" w:eastAsia="Times New Roman" w:hAnsi="Segoe UI" w:cs="Segoe UI"/>
          <w:b/>
          <w:sz w:val="20"/>
          <w:szCs w:val="20"/>
        </w:rPr>
      </w:pPr>
      <w:r>
        <w:rPr>
          <w:rFonts w:ascii="Segoe UI" w:eastAsia="Times New Roman" w:hAnsi="Segoe UI" w:cs="Segoe UI"/>
          <w:b/>
          <w:sz w:val="20"/>
          <w:szCs w:val="20"/>
        </w:rPr>
        <w:t>Контакты для СМИ</w:t>
      </w:r>
    </w:p>
    <w:p w:rsidR="00EF26C6" w:rsidRDefault="00EF26C6" w:rsidP="00EF26C6">
      <w:pPr>
        <w:spacing w:after="0" w:line="240" w:lineRule="auto"/>
        <w:jc w:val="right"/>
        <w:rPr>
          <w:rFonts w:ascii="Segoe UI" w:eastAsia="Times New Roman" w:hAnsi="Segoe UI" w:cs="Segoe UI"/>
          <w:sz w:val="20"/>
          <w:szCs w:val="20"/>
        </w:rPr>
      </w:pPr>
      <w:r>
        <w:rPr>
          <w:rFonts w:ascii="Segoe UI" w:eastAsia="Times New Roman" w:hAnsi="Segoe UI" w:cs="Segoe UI"/>
          <w:sz w:val="20"/>
          <w:szCs w:val="20"/>
        </w:rPr>
        <w:t xml:space="preserve">Пресс-служба </w:t>
      </w:r>
      <w:proofErr w:type="spellStart"/>
      <w:r>
        <w:rPr>
          <w:rFonts w:ascii="Segoe UI" w:eastAsia="Times New Roman" w:hAnsi="Segoe UI" w:cs="Segoe UI"/>
          <w:sz w:val="20"/>
          <w:szCs w:val="20"/>
        </w:rPr>
        <w:t>Росреестра</w:t>
      </w:r>
      <w:proofErr w:type="spellEnd"/>
      <w:r>
        <w:rPr>
          <w:rFonts w:ascii="Segoe UI" w:eastAsia="Times New Roman" w:hAnsi="Segoe UI" w:cs="Segoe UI"/>
          <w:sz w:val="20"/>
          <w:szCs w:val="20"/>
        </w:rPr>
        <w:t xml:space="preserve"> Татарстана </w:t>
      </w:r>
    </w:p>
    <w:p w:rsidR="00EF26C6" w:rsidRDefault="00EF26C6" w:rsidP="00EF26C6">
      <w:pPr>
        <w:spacing w:after="0" w:line="240" w:lineRule="auto"/>
        <w:jc w:val="right"/>
        <w:rPr>
          <w:rFonts w:ascii="Segoe UI" w:eastAsia="Times New Roman" w:hAnsi="Segoe UI" w:cs="Segoe UI"/>
          <w:sz w:val="20"/>
          <w:szCs w:val="20"/>
        </w:rPr>
      </w:pPr>
      <w:r>
        <w:rPr>
          <w:rFonts w:ascii="Segoe UI" w:eastAsia="Times New Roman" w:hAnsi="Segoe UI" w:cs="Segoe UI"/>
          <w:sz w:val="20"/>
          <w:szCs w:val="20"/>
        </w:rPr>
        <w:t xml:space="preserve">255-25-80 – </w:t>
      </w:r>
      <w:proofErr w:type="spellStart"/>
      <w:r>
        <w:rPr>
          <w:rFonts w:ascii="Segoe UI" w:eastAsia="Times New Roman" w:hAnsi="Segoe UI" w:cs="Segoe UI"/>
          <w:sz w:val="20"/>
          <w:szCs w:val="20"/>
        </w:rPr>
        <w:t>Галиуллина</w:t>
      </w:r>
      <w:proofErr w:type="spellEnd"/>
      <w:r>
        <w:rPr>
          <w:rFonts w:ascii="Segoe UI" w:eastAsia="Times New Roman" w:hAnsi="Segoe UI" w:cs="Segoe UI"/>
          <w:sz w:val="20"/>
          <w:szCs w:val="20"/>
        </w:rPr>
        <w:t xml:space="preserve"> Галина</w:t>
      </w:r>
    </w:p>
    <w:p w:rsidR="00EF26C6" w:rsidRDefault="00EF26C6" w:rsidP="00EF26C6">
      <w:pPr>
        <w:spacing w:after="0" w:line="240" w:lineRule="auto"/>
        <w:jc w:val="right"/>
        <w:rPr>
          <w:rFonts w:ascii="Segoe UI" w:eastAsia="Times New Roman" w:hAnsi="Segoe UI" w:cs="Segoe UI"/>
          <w:sz w:val="20"/>
          <w:szCs w:val="20"/>
        </w:rPr>
      </w:pPr>
      <w:hyperlink r:id="rId5" w:history="1">
        <w:r>
          <w:rPr>
            <w:rStyle w:val="a3"/>
            <w:rFonts w:ascii="Segoe UI" w:eastAsia="Times New Roman" w:hAnsi="Segoe UI" w:cs="Segoe UI"/>
            <w:sz w:val="20"/>
            <w:szCs w:val="20"/>
          </w:rPr>
          <w:t>https://rosreestr.tatarstan.ru</w:t>
        </w:r>
      </w:hyperlink>
    </w:p>
    <w:p w:rsidR="00EF26C6" w:rsidRPr="00355402" w:rsidRDefault="00EF26C6" w:rsidP="00EF26C6">
      <w:pPr>
        <w:jc w:val="right"/>
        <w:rPr>
          <w:rFonts w:ascii="Inter" w:hAnsi="Inter"/>
          <w:sz w:val="24"/>
          <w:szCs w:val="24"/>
        </w:rPr>
      </w:pPr>
      <w:r>
        <w:rPr>
          <w:rFonts w:ascii="Segoe UI" w:eastAsia="Times New Roman" w:hAnsi="Segoe UI" w:cs="Segoe UI"/>
          <w:sz w:val="20"/>
          <w:szCs w:val="20"/>
        </w:rPr>
        <w:t>https://vk.com/rosreestr16                                                                                                                                 https://t.me/rosreestr_tatarstan</w:t>
      </w:r>
    </w:p>
    <w:p w:rsidR="0024132E" w:rsidRPr="00EF26C6" w:rsidRDefault="0024132E"/>
    <w:sectPr w:rsidR="0024132E" w:rsidRPr="00EF2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Inter">
    <w:panose1 w:val="02000503000000020004"/>
    <w:charset w:val="CC"/>
    <w:family w:val="auto"/>
    <w:pitch w:val="variable"/>
    <w:sig w:usb0="E00002FF" w:usb1="1200A1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C6"/>
    <w:rsid w:val="0024132E"/>
    <w:rsid w:val="008467DE"/>
    <w:rsid w:val="00EF2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8E52"/>
  <w15:chartTrackingRefBased/>
  <w15:docId w15:val="{6D163E08-ECF3-4232-9C0F-3B8C9042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6C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tatarstan.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GIBADULLINRR</dc:creator>
  <cp:keywords/>
  <dc:description/>
  <cp:lastModifiedBy>GIBADULLINRR</cp:lastModifiedBy>
  <cp:revision>2</cp:revision>
  <dcterms:created xsi:type="dcterms:W3CDTF">2022-07-08T06:35:00Z</dcterms:created>
  <dcterms:modified xsi:type="dcterms:W3CDTF">2022-07-08T06:41:00Z</dcterms:modified>
</cp:coreProperties>
</file>